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333333"/>
          <w:spacing w:val="0"/>
          <w:sz w:val="24"/>
          <w:szCs w:val="24"/>
          <w:shd w:val="clear" w:fill="FFFFFF"/>
        </w:rPr>
        <w:t>附件</w:t>
      </w:r>
      <w:r>
        <w:rPr>
          <w:rFonts w:hint="default" w:ascii="Times New Roman" w:hAnsi="Times New Roman" w:cs="Times New Roman"/>
          <w:i w:val="0"/>
          <w:iCs w:val="0"/>
          <w:caps w:val="0"/>
          <w:color w:val="333333"/>
          <w:spacing w:val="0"/>
          <w:sz w:val="31"/>
          <w:szCs w:val="31"/>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sz w:val="43"/>
          <w:szCs w:val="43"/>
          <w:shd w:val="clear" w:fill="FFFFFF"/>
        </w:rPr>
      </w:pPr>
      <w:r>
        <w:rPr>
          <w:rFonts w:ascii="方正小标宋_GBK" w:hAnsi="方正小标宋_GBK" w:eastAsia="方正小标宋_GBK" w:cs="方正小标宋_GBK"/>
          <w:i w:val="0"/>
          <w:iCs w:val="0"/>
          <w:caps w:val="0"/>
          <w:color w:val="333333"/>
          <w:spacing w:val="0"/>
          <w:sz w:val="43"/>
          <w:szCs w:val="43"/>
          <w:shd w:val="clear" w:fill="FFFFFF"/>
        </w:rPr>
        <w:t>未加碘小包装食</w:t>
      </w:r>
      <w:r>
        <w:rPr>
          <w:rFonts w:ascii="方正小标宋_GBK" w:hAnsi="方正小标宋_GBK" w:eastAsia="方正小标宋_GBK" w:cs="方正小标宋_GBK"/>
          <w:i w:val="0"/>
          <w:iCs w:val="0"/>
          <w:caps w:val="0"/>
          <w:color w:val="333333"/>
          <w:spacing w:val="0"/>
          <w:sz w:val="43"/>
          <w:szCs w:val="43"/>
          <w:shd w:val="clear" w:fill="FFFFFF"/>
        </w:rPr>
        <w:t>盐</w:t>
      </w:r>
      <w:r>
        <w:rPr>
          <w:rFonts w:hint="eastAsia" w:ascii="方正小标宋_GBK" w:hAnsi="方正小标宋_GBK" w:eastAsia="方正小标宋_GBK" w:cs="方正小标宋_GBK"/>
          <w:i w:val="0"/>
          <w:iCs w:val="0"/>
          <w:caps w:val="0"/>
          <w:color w:val="333333"/>
          <w:spacing w:val="0"/>
          <w:sz w:val="43"/>
          <w:szCs w:val="43"/>
          <w:shd w:val="clear" w:fill="FFFFFF"/>
        </w:rPr>
        <w:t>供应方案模板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方正黑体_GBK" w:hAnsi="方正黑体_GBK" w:eastAsia="方正黑体_GBK" w:cs="方正黑体_GBK"/>
          <w:i w:val="0"/>
          <w:iCs w:val="0"/>
          <w:caps w:val="0"/>
          <w:color w:val="333333"/>
          <w:spacing w:val="0"/>
          <w:sz w:val="24"/>
          <w:szCs w:val="24"/>
          <w:shd w:val="clear" w:fill="FFFFFF"/>
        </w:rPr>
        <w:t>一、企业基本情况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ascii="方正仿宋_GBK" w:hAnsi="方正仿宋_GBK" w:eastAsia="方正仿宋_GBK" w:cs="方正仿宋_GBK"/>
          <w:i w:val="0"/>
          <w:iCs w:val="0"/>
          <w:caps w:val="0"/>
          <w:color w:val="333333"/>
          <w:spacing w:val="0"/>
          <w:sz w:val="24"/>
          <w:szCs w:val="24"/>
          <w:shd w:val="clear" w:fill="FFFFFF"/>
        </w:rPr>
        <w:t>包括企业</w:t>
      </w:r>
      <w:r>
        <w:rPr>
          <w:rFonts w:hint="eastAsia" w:ascii="方正仿宋_GBK" w:hAnsi="方正仿宋_GBK" w:eastAsia="方正仿宋_GBK" w:cs="方正仿宋_GBK"/>
          <w:i w:val="0"/>
          <w:iCs w:val="0"/>
          <w:caps w:val="0"/>
          <w:color w:val="333333"/>
          <w:spacing w:val="0"/>
          <w:sz w:val="24"/>
          <w:szCs w:val="24"/>
          <w:shd w:val="clear" w:fill="FFFFFF"/>
        </w:rPr>
        <w:t>取得资质情况、近三年生产经营情况、在重庆市物流仓储情况（包含仓库、车辆情况）、在重庆开展食盐批发业务情况（包含销售区域、销售品种、销售量及主要供货对象）等。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黑体_GBK" w:hAnsi="方正黑体_GBK" w:eastAsia="方正黑体_GBK" w:cs="方正黑体_GBK"/>
          <w:i w:val="0"/>
          <w:iCs w:val="0"/>
          <w:caps w:val="0"/>
          <w:color w:val="333333"/>
          <w:spacing w:val="0"/>
          <w:sz w:val="24"/>
          <w:szCs w:val="24"/>
          <w:shd w:val="clear" w:fill="FFFFFF"/>
        </w:rPr>
      </w:pPr>
      <w:r>
        <w:rPr>
          <w:rFonts w:hint="default" w:ascii="方正黑体_GBK" w:hAnsi="方正黑体_GBK" w:eastAsia="方正黑体_GBK" w:cs="方正黑体_GBK"/>
          <w:i w:val="0"/>
          <w:iCs w:val="0"/>
          <w:caps w:val="0"/>
          <w:color w:val="333333"/>
          <w:spacing w:val="0"/>
          <w:sz w:val="24"/>
          <w:szCs w:val="24"/>
          <w:shd w:val="clear" w:fill="FFFFFF"/>
        </w:rPr>
        <w:t>二、未加碘小包装食盐供应方案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eastAsia" w:ascii="方正仿宋_GBK" w:hAnsi="方正仿宋_GBK" w:eastAsia="方正仿宋_GBK" w:cs="方正仿宋_GBK"/>
          <w:i w:val="0"/>
          <w:iCs w:val="0"/>
          <w:caps w:val="0"/>
          <w:color w:val="333333"/>
          <w:spacing w:val="0"/>
          <w:sz w:val="24"/>
          <w:szCs w:val="24"/>
          <w:shd w:val="clear" w:fill="FFFFFF"/>
        </w:rPr>
        <w:t>包括未加碘小包装食盐购进渠道、未加碘小包装食盐储存点设置方案及辐射区域、销售网点布局方案等。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Calibri" w:hAnsi="Calibri" w:cs="Calibri"/>
          <w:i w:val="0"/>
          <w:iCs w:val="0"/>
          <w:caps w:val="0"/>
          <w:color w:val="333333"/>
          <w:spacing w:val="0"/>
          <w:sz w:val="21"/>
          <w:szCs w:val="21"/>
        </w:rPr>
      </w:pPr>
      <w:r>
        <w:rPr>
          <w:rFonts w:ascii="方正黑体_GBK" w:hAnsi="方正黑体_GBK" w:eastAsia="方正黑体_GBK" w:cs="方正黑体_GBK"/>
          <w:i w:val="0"/>
          <w:iCs w:val="0"/>
          <w:caps w:val="0"/>
          <w:color w:val="333333"/>
          <w:spacing w:val="15"/>
          <w:sz w:val="24"/>
          <w:szCs w:val="24"/>
          <w:shd w:val="clear" w:fill="FFFFFF"/>
        </w:rPr>
        <w:t>附件</w:t>
      </w:r>
      <w:r>
        <w:rPr>
          <w:rFonts w:hint="default" w:ascii="Times New Roman" w:hAnsi="Times New Roman" w:cs="Times New Roman"/>
          <w:i w:val="0"/>
          <w:iCs w:val="0"/>
          <w:caps w:val="0"/>
          <w:color w:val="333333"/>
          <w:spacing w:val="15"/>
          <w:sz w:val="31"/>
          <w:szCs w:val="31"/>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sz w:val="43"/>
          <w:szCs w:val="43"/>
          <w:shd w:val="clear" w:fill="FFFFFF"/>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方正小标宋_GBK" w:hAnsi="方正小标宋_GBK" w:eastAsia="方正小标宋_GBK" w:cs="方正小标宋_GBK"/>
          <w:i w:val="0"/>
          <w:iCs w:val="0"/>
          <w:caps w:val="0"/>
          <w:color w:val="333333"/>
          <w:spacing w:val="0"/>
          <w:sz w:val="43"/>
          <w:szCs w:val="43"/>
          <w:shd w:val="clear" w:fill="FFFFFF"/>
        </w:rPr>
      </w:pPr>
      <w:r>
        <w:rPr>
          <w:rFonts w:ascii="方正小标宋_GBK" w:hAnsi="方正小标宋_GBK" w:eastAsia="方正小标宋_GBK" w:cs="方正小标宋_GBK"/>
          <w:i w:val="0"/>
          <w:iCs w:val="0"/>
          <w:caps w:val="0"/>
          <w:color w:val="333333"/>
          <w:spacing w:val="0"/>
          <w:sz w:val="43"/>
          <w:szCs w:val="43"/>
          <w:shd w:val="clear" w:fill="FFFFFF"/>
        </w:rPr>
        <w:t>项目申报条件所需资料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333333"/>
          <w:spacing w:val="0"/>
          <w:sz w:val="24"/>
          <w:szCs w:val="24"/>
          <w:shd w:val="clear" w:fill="FFFFFF"/>
        </w:rPr>
        <w:t>、未加碘小包装食盐供应企业申请书、未加碘小包装食盐供应方案及工商营业执照、食盐定点批发企业证书复印件；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、销售的未加碘小包装食盐购进合同，及未加碘小包装食盐品种规格、相应标准说明材料；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3</w:t>
      </w:r>
      <w:r>
        <w:rPr>
          <w:rFonts w:hint="eastAsia" w:ascii="方正仿宋_GBK" w:hAnsi="方正仿宋_GBK" w:eastAsia="方正仿宋_GBK" w:cs="方正仿宋_GBK"/>
          <w:i w:val="0"/>
          <w:iCs w:val="0"/>
          <w:caps w:val="0"/>
          <w:color w:val="333333"/>
          <w:spacing w:val="0"/>
          <w:sz w:val="24"/>
          <w:szCs w:val="24"/>
          <w:shd w:val="clear" w:fill="FFFFFF"/>
        </w:rPr>
        <w:t>、提供食盐储存点自有房产证或与第三方签订的仓库租赁合同，租赁仓库需提供三年以上租赁合同；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4</w:t>
      </w:r>
      <w:r>
        <w:rPr>
          <w:rFonts w:hint="eastAsia" w:ascii="方正仿宋_GBK" w:hAnsi="方正仿宋_GBK" w:eastAsia="方正仿宋_GBK" w:cs="方正仿宋_GBK"/>
          <w:i w:val="0"/>
          <w:iCs w:val="0"/>
          <w:caps w:val="0"/>
          <w:color w:val="333333"/>
          <w:spacing w:val="0"/>
          <w:sz w:val="24"/>
          <w:szCs w:val="24"/>
          <w:shd w:val="clear" w:fill="FFFFFF"/>
        </w:rPr>
        <w:t>、向区县及大型连锁商超开展食盐批发业务的合同、销售记录等佐证材料；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5</w:t>
      </w:r>
      <w:r>
        <w:rPr>
          <w:rFonts w:hint="eastAsia" w:ascii="方正仿宋_GBK" w:hAnsi="方正仿宋_GBK" w:eastAsia="方正仿宋_GBK" w:cs="方正仿宋_GBK"/>
          <w:i w:val="0"/>
          <w:iCs w:val="0"/>
          <w:caps w:val="0"/>
          <w:color w:val="333333"/>
          <w:spacing w:val="0"/>
          <w:sz w:val="24"/>
          <w:szCs w:val="24"/>
          <w:shd w:val="clear" w:fill="FFFFFF"/>
        </w:rPr>
        <w:t>、使用车辆行驶证及所有权或租赁协议等证明材料；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333333"/>
          <w:spacing w:val="0"/>
          <w:sz w:val="24"/>
          <w:szCs w:val="24"/>
          <w:shd w:val="clear" w:fill="FFFFFF"/>
        </w:rPr>
      </w:pPr>
      <w:r>
        <w:rPr>
          <w:rFonts w:hint="default" w:ascii="方正仿宋_GBK" w:hAnsi="方正仿宋_GBK" w:eastAsia="方正仿宋_GBK" w:cs="方正仿宋_GBK"/>
          <w:i w:val="0"/>
          <w:iCs w:val="0"/>
          <w:caps w:val="0"/>
          <w:color w:val="333333"/>
          <w:spacing w:val="0"/>
          <w:sz w:val="24"/>
          <w:szCs w:val="24"/>
          <w:shd w:val="clear" w:fill="FFFFFF"/>
        </w:rPr>
        <w:t>6</w:t>
      </w:r>
      <w:r>
        <w:rPr>
          <w:rFonts w:hint="eastAsia" w:ascii="方正仿宋_GBK" w:hAnsi="方正仿宋_GBK" w:eastAsia="方正仿宋_GBK" w:cs="方正仿宋_GBK"/>
          <w:i w:val="0"/>
          <w:iCs w:val="0"/>
          <w:caps w:val="0"/>
          <w:color w:val="333333"/>
          <w:spacing w:val="0"/>
          <w:sz w:val="24"/>
          <w:szCs w:val="24"/>
          <w:shd w:val="clear" w:fill="FFFFFF"/>
        </w:rPr>
        <w:t>、未加碘小包装食盐生产经营管理制度、供应应急预案。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方正仿宋_GBK" w:hAnsi="方正仿宋_GBK" w:eastAsia="方正仿宋_GBK" w:cs="方正仿宋_GBK"/>
          <w:i w:val="0"/>
          <w:iCs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15"/>
          <w:sz w:val="24"/>
          <w:szCs w:val="24"/>
          <w:shd w:val="clear" w:fill="FFFFFF"/>
          <w:lang w:val="en-US" w:eastAsia="zh-CN"/>
        </w:rPr>
      </w:pPr>
      <w:r>
        <w:rPr>
          <w:rFonts w:ascii="方正黑体_GBK" w:hAnsi="方正黑体_GBK" w:eastAsia="方正黑体_GBK" w:cs="方正黑体_GBK"/>
          <w:i w:val="0"/>
          <w:iCs w:val="0"/>
          <w:caps w:val="0"/>
          <w:color w:val="333333"/>
          <w:spacing w:val="15"/>
          <w:sz w:val="24"/>
          <w:szCs w:val="24"/>
          <w:shd w:val="clear" w:fill="FFFFFF"/>
        </w:rPr>
        <w:t>附件</w:t>
      </w:r>
      <w:r>
        <w:rPr>
          <w:rFonts w:hint="eastAsia" w:ascii="方正黑体_GBK" w:hAnsi="方正黑体_GBK" w:eastAsia="方正黑体_GBK" w:cs="方正黑体_GBK"/>
          <w:i w:val="0"/>
          <w:iCs w:val="0"/>
          <w:caps w:val="0"/>
          <w:color w:val="333333"/>
          <w:spacing w:val="15"/>
          <w:sz w:val="24"/>
          <w:szCs w:val="24"/>
          <w:shd w:val="clear"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sz w:val="43"/>
          <w:szCs w:val="43"/>
          <w:shd w:val="clear" w:fill="FFFFFF"/>
          <w:lang w:val="en-US" w:eastAsia="zh-CN"/>
        </w:rPr>
      </w:pPr>
      <w:r>
        <w:rPr>
          <w:rFonts w:hint="eastAsia" w:ascii="方正小标宋_GBK" w:hAnsi="方正小标宋_GBK" w:eastAsia="方正小标宋_GBK" w:cs="方正小标宋_GBK"/>
          <w:i w:val="0"/>
          <w:iCs w:val="0"/>
          <w:caps w:val="0"/>
          <w:color w:val="333333"/>
          <w:spacing w:val="0"/>
          <w:sz w:val="43"/>
          <w:szCs w:val="43"/>
          <w:shd w:val="clear" w:fill="FFFFFF"/>
          <w:lang w:val="en-US" w:eastAsia="zh-CN"/>
        </w:rPr>
        <w:t>项目评分标准</w:t>
      </w:r>
      <w:bookmarkStart w:id="0" w:name="_GoBack"/>
      <w:bookmarkEnd w:id="0"/>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1"/>
        <w:gridCol w:w="1199"/>
        <w:gridCol w:w="56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类别</w:t>
            </w:r>
          </w:p>
        </w:tc>
        <w:tc>
          <w:tcPr>
            <w:tcW w:w="12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分值</w:t>
            </w:r>
          </w:p>
        </w:tc>
        <w:tc>
          <w:tcPr>
            <w:tcW w:w="58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企业情况</w:t>
            </w: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根据企业生产经营情况进行综合评分，得分0—5分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175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color w:val="333333"/>
                <w:sz w:val="24"/>
                <w:szCs w:val="24"/>
              </w:rPr>
            </w:pP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15</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企业在重庆自有或租赁的食盐储存仓库10个以上得10分，每3个以上5个（含5个）以下相邻区县设有一个储备仓库，每设有1个加1分，得分0—15分。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jc w:val="center"/>
        </w:trPr>
        <w:tc>
          <w:tcPr>
            <w:tcW w:w="175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color w:val="333333"/>
                <w:sz w:val="24"/>
                <w:szCs w:val="24"/>
              </w:rPr>
            </w:pP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15</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企业每在一个区县开展食盐批发业务得0.5分，最高15分。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color w:val="333333"/>
                <w:sz w:val="24"/>
                <w:szCs w:val="24"/>
              </w:rPr>
            </w:pP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w:t>
            </w:r>
            <w:r>
              <w:rPr>
                <w:rFonts w:hint="eastAsia" w:ascii="微软雅黑" w:hAnsi="微软雅黑" w:eastAsia="微软雅黑" w:cs="微软雅黑"/>
                <w:color w:val="333333"/>
                <w:spacing w:val="0"/>
                <w:sz w:val="24"/>
                <w:szCs w:val="24"/>
              </w:rPr>
              <w:t>向重庆市内大型连锁商超供应食盐，每供应一家得1分，最高10分</w:t>
            </w:r>
            <w:r>
              <w:rPr>
                <w:rFonts w:hint="eastAsia" w:ascii="微软雅黑" w:hAnsi="微软雅黑" w:eastAsia="微软雅黑" w:cs="微软雅黑"/>
                <w:color w:val="333333"/>
                <w:sz w:val="24"/>
                <w:szCs w:val="24"/>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color w:val="333333"/>
                <w:sz w:val="24"/>
                <w:szCs w:val="24"/>
              </w:rPr>
            </w:pP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15</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企业自有或租赁配送车辆15辆得1分，每增加1辆加0.5分，最高15分。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供应方案</w:t>
            </w: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根据未加碘小包装食盐供应方案进行综合评分，得分0—20分。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color w:val="333333"/>
                <w:sz w:val="24"/>
                <w:szCs w:val="24"/>
              </w:rPr>
            </w:pP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根据企业提供的未加碘小包装食盐生产经营管理制度及应急预案进行综合评分，得分0—10分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7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社会责任履行</w:t>
            </w:r>
          </w:p>
        </w:tc>
        <w:tc>
          <w:tcPr>
            <w:tcW w:w="12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w:t>
            </w:r>
          </w:p>
        </w:tc>
        <w:tc>
          <w:tcPr>
            <w:tcW w:w="582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根据企业近三年在我市各区县开展“515碘缺乏病防治宣传”工作进行综合评分，得分0—10分。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方正黑体_GBK" w:hAnsi="方正黑体_GBK" w:eastAsia="方正黑体_GBK" w:cs="方正黑体_GBK"/>
          <w:i w:val="0"/>
          <w:iCs w:val="0"/>
          <w:caps w:val="0"/>
          <w:color w:val="333333"/>
          <w:spacing w:val="15"/>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333333"/>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A527565-CBFD-4F25-9887-BCF601D3E3EB}"/>
  </w:font>
  <w:font w:name="方正黑体_GBK">
    <w:altName w:val="微软雅黑"/>
    <w:panose1 w:val="00000000000000000000"/>
    <w:charset w:val="00"/>
    <w:family w:val="auto"/>
    <w:pitch w:val="default"/>
    <w:sig w:usb0="00000000" w:usb1="00000000" w:usb2="00000000" w:usb3="00000000" w:csb0="00000000" w:csb1="00000000"/>
    <w:embedRegular r:id="rId2" w:fontKey="{51AE6D65-79A6-4F66-86C1-45769ABCE639}"/>
  </w:font>
  <w:font w:name="微软雅黑">
    <w:panose1 w:val="020B0503020204020204"/>
    <w:charset w:val="86"/>
    <w:family w:val="auto"/>
    <w:pitch w:val="default"/>
    <w:sig w:usb0="80000287" w:usb1="280F3C52" w:usb2="00000016" w:usb3="00000000" w:csb0="0004001F" w:csb1="00000000"/>
    <w:embedRegular r:id="rId3" w:fontKey="{4032A4EB-8D92-4E98-AF50-E8976793EF81}"/>
  </w:font>
  <w:font w:name="方正小标宋_GBK">
    <w:panose1 w:val="02000000000000000000"/>
    <w:charset w:val="86"/>
    <w:family w:val="auto"/>
    <w:pitch w:val="default"/>
    <w:sig w:usb0="A00002BF" w:usb1="38CF7CFA" w:usb2="00082016" w:usb3="00000000" w:csb0="00040001" w:csb1="00000000"/>
    <w:embedRegular r:id="rId4" w:fontKey="{F3129A2A-03D4-4FBF-BDE6-BC35ECB54393}"/>
  </w:font>
  <w:font w:name="方正仿宋_GBK">
    <w:panose1 w:val="02000000000000000000"/>
    <w:charset w:val="86"/>
    <w:family w:val="auto"/>
    <w:pitch w:val="default"/>
    <w:sig w:usb0="A00002BF" w:usb1="38CF7CFA" w:usb2="00082016" w:usb3="00000000" w:csb0="00040001" w:csb1="00000000"/>
    <w:embedRegular r:id="rId5" w:fontKey="{6D4F9842-6511-4B0D-B5F2-AF555FD7F4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4298C"/>
    <w:rsid w:val="4B64298C"/>
    <w:rsid w:val="79E71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2022-01-08T07:03:00Z</dcterms:created>
  <dc:creator>弘一职校</dc:creator>
  <cp:lastModifiedBy>弘一职校</cp:lastModifiedBy>
  <dcterms:modified xsi:type="dcterms:W3CDTF">2022-01-08T07:09:35Z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6E028A42B6774AC38E713C2B4ED6758D</vt:lpwstr>
  </property>
</Properties>
</file>